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-540" w:right="256" w:hanging="34"/>
        <w:jc w:val="center"/>
        <w:rPr>
          <w:color w:val="000000"/>
          <w:sz w:val="16"/>
        </w:rPr>
      </w:pPr>
      <w:r>
        <w:rPr>
          <w:color w:val="000000"/>
          <w:sz w:val="16"/>
        </w:rPr>
        <w:drawing>
          <wp:inline distT="0" distB="0" distL="0" distR="0" wp14:anchorId="313A54D4" wp14:editId="25D50D94">
            <wp:extent cx="526415" cy="687705"/>
            <wp:effectExtent l="0" t="0" r="6985" b="0"/>
            <wp:docPr id="1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rFonts w:ascii="Arial" w:hAnsi="Arial"/>
          <w:b w:val="off"/>
          <w:color w:val="000000"/>
          <w:sz w:val="18"/>
        </w:rPr>
      </w:pPr>
      <w:r>
        <w:rPr>
          <w:color w:val="000000"/>
          <w:sz w:val="18"/>
        </w:rPr>
        <w:t>ДЕПАРТАМЕНТ ОБРАЗОВАНИЯ</w:t>
      </w:r>
    </w:p>
    <w:p>
      <w:pPr>
        <w:pStyle w:val="1"/>
        <w:rPr>
          <w:color w:val="000000"/>
          <w:sz w:val="18"/>
        </w:rPr>
      </w:pPr>
      <w:r>
        <w:rPr>
          <w:color w:val="000000"/>
          <w:sz w:val="18"/>
        </w:rPr>
        <w:t>АДМИНИСТРАЦИИ ГОРОДА НИЖНЕГО НОВГОРОДА</w:t>
      </w:r>
    </w:p>
    <w:p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Муниципальное бюджетное учреждение </w:t>
      </w:r>
    </w:p>
    <w:p>
      <w:pPr>
        <w:jc w:val="center"/>
        <w:rPr>
          <w:rFonts w:ascii="Arial" w:hAnsi="Arial"/>
          <w:b/>
          <w:color w:val="000000"/>
          <w:sz w:val="18"/>
        </w:rPr>
      </w:pPr>
      <w:r>
        <w:rPr>
          <w:b/>
          <w:color w:val="000000"/>
          <w:sz w:val="18"/>
        </w:rPr>
        <w:t xml:space="preserve">дополнительного образования </w:t>
      </w:r>
    </w:p>
    <w:p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«Школа искусств и ремесел им. А.С. Пушкина «Изограф</w:t>
      </w:r>
      <w:r>
        <w:rPr>
          <w:b/>
          <w:color w:val="000000"/>
          <w:sz w:val="18"/>
        </w:rPr>
        <w:t>»</w:t>
      </w:r>
    </w:p>
    <w:p>
      <w:pPr>
        <w:jc w:val="center"/>
        <w:rPr>
          <w:b/>
          <w:color w:val="000000"/>
          <w:sz w:val="18"/>
        </w:rPr>
      </w:pPr>
      <w:r>
        <w:rPr>
          <w:color w:val="000000"/>
          <w:sz w:val="18"/>
        </w:rPr>
        <w:t>603024, г</w:t>
      </w:r>
      <w:r>
        <w:rPr>
          <w:color w:val="000000"/>
          <w:sz w:val="18"/>
        </w:rPr>
        <w:t xml:space="preserve">. Нижний Новгород,  Сенная площадь, 13а, тел. (831) </w:t>
      </w:r>
      <w:r>
        <w:rPr>
          <w:b/>
          <w:color w:val="000000"/>
          <w:sz w:val="18"/>
        </w:rPr>
        <w:t>436-02-11.</w:t>
      </w:r>
    </w:p>
    <w:p>
      <w:pPr>
        <w:jc w:val="center"/>
        <w:rPr>
          <w:b/>
          <w:color w:val="000000"/>
          <w:sz w:val="18"/>
        </w:rPr>
      </w:pPr>
    </w:p>
    <w:p>
      <w:pPr>
        <w:jc w:val="center"/>
        <w:rPr>
          <w:b/>
          <w:color w:val="000000"/>
          <w:sz w:val="28"/>
        </w:rPr>
      </w:pPr>
    </w:p>
    <w:p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Уважаемые коллеги!</w:t>
      </w:r>
    </w:p>
    <w:p>
      <w:pPr>
        <w:jc w:val="center"/>
        <w:rPr>
          <w:b/>
          <w:i/>
          <w:color w:val="000000"/>
          <w:sz w:val="28"/>
        </w:rPr>
      </w:pPr>
    </w:p>
    <w:p>
      <w:pPr>
        <w:ind w:left="-567" w:right="-1" w:firstLine="567"/>
        <w:jc w:val="both"/>
        <w:rPr>
          <w:sz w:val="28"/>
        </w:rPr>
      </w:pPr>
      <w:r>
        <w:rPr>
          <w:sz w:val="28"/>
        </w:rPr>
        <w:t xml:space="preserve">Приглашаем Вас принять участие в научно-практической конференции </w:t>
      </w:r>
      <w:r>
        <w:rPr>
          <w:b/>
          <w:sz w:val="28"/>
        </w:rPr>
        <w:t>«Актуальные вопросы истории искусств и методик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ее </w:t>
      </w:r>
      <w:r>
        <w:rPr>
          <w:b/>
          <w:sz w:val="28"/>
        </w:rPr>
        <w:t>преподавания»</w:t>
      </w:r>
      <w:r>
        <w:rPr>
          <w:sz w:val="28"/>
        </w:rPr>
        <w:t xml:space="preserve">, которая состоится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>-</w:t>
      </w:r>
      <w:r>
        <w:rPr>
          <w:sz w:val="28"/>
        </w:rPr>
        <w:t xml:space="preserve">29 ноября  2019 г. в </w:t>
      </w:r>
      <w:r>
        <w:rPr>
          <w:sz w:val="28"/>
        </w:rPr>
        <w:t xml:space="preserve">МБУ </w:t>
      </w:r>
      <w:r>
        <w:rPr>
          <w:sz w:val="28"/>
        </w:rPr>
        <w:t>ДО</w:t>
      </w:r>
      <w:r>
        <w:rPr>
          <w:sz w:val="28"/>
        </w:rPr>
        <w:t xml:space="preserve"> «</w:t>
      </w:r>
      <w:r>
        <w:rPr>
          <w:sz w:val="28"/>
        </w:rPr>
        <w:t>Школа</w:t>
      </w:r>
      <w:r>
        <w:rPr>
          <w:sz w:val="28"/>
        </w:rPr>
        <w:t xml:space="preserve"> искусств и ремесел</w:t>
      </w:r>
      <w:r>
        <w:rPr>
          <w:sz w:val="28"/>
        </w:rPr>
        <w:t xml:space="preserve"> им. А.С. Пушкина «Изограф» по адресу: Нижний Новгород, пл. </w:t>
      </w:r>
      <w:r>
        <w:rPr>
          <w:sz w:val="28"/>
        </w:rPr>
        <w:t>Сенная</w:t>
      </w:r>
      <w:r>
        <w:rPr>
          <w:sz w:val="28"/>
        </w:rPr>
        <w:t>, 13а. Предполага</w:t>
      </w:r>
      <w:r>
        <w:rPr>
          <w:sz w:val="28"/>
        </w:rPr>
        <w:t>е</w:t>
      </w:r>
      <w:r>
        <w:rPr>
          <w:sz w:val="28"/>
        </w:rPr>
        <w:t>тся</w:t>
      </w:r>
      <w:r>
        <w:rPr>
          <w:sz w:val="28"/>
        </w:rPr>
        <w:t xml:space="preserve"> два больших </w:t>
      </w:r>
      <w:r>
        <w:rPr>
          <w:sz w:val="28"/>
        </w:rPr>
        <w:t>тематически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блока</w:t>
      </w:r>
      <w:r>
        <w:rPr>
          <w:sz w:val="28"/>
        </w:rPr>
        <w:t xml:space="preserve"> конференции:</w:t>
      </w:r>
    </w:p>
    <w:p>
      <w:pPr>
        <w:ind w:left="-567" w:right="-1" w:firstLine="567"/>
        <w:jc w:val="both"/>
        <w:rPr>
          <w:sz w:val="28"/>
        </w:rPr>
      </w:pPr>
      <w:r>
        <w:rPr>
          <w:sz w:val="28"/>
        </w:rPr>
        <w:t>- дискуссионные проблемы истории зарубежн</w:t>
      </w:r>
      <w:r>
        <w:rPr>
          <w:sz w:val="28"/>
        </w:rPr>
        <w:t xml:space="preserve">ого и отечественного искусства, </w:t>
      </w:r>
      <w:r>
        <w:rPr>
          <w:sz w:val="28"/>
        </w:rPr>
        <w:t>новые атрибуции произведений искусства</w:t>
      </w:r>
      <w:r>
        <w:rPr>
          <w:sz w:val="28"/>
        </w:rPr>
        <w:t>, архивные и музейные исследования</w:t>
      </w:r>
      <w:r>
        <w:rPr>
          <w:sz w:val="28"/>
        </w:rPr>
        <w:t>;</w:t>
      </w:r>
    </w:p>
    <w:p>
      <w:pPr>
        <w:ind w:left="-567" w:right="-1"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разнообразные аспекты теории и практики преподавания истории искусств в художественных школах и школах искусств, учреждениях дополнительного образования, средних специальных и высших учебных заведениях. Оргкомитет особенно приветствует доклады, содержащие обобщение и анализ конкретного практического опыта педагогов.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В 2017 и 2018 гг.</w:t>
      </w:r>
      <w:r>
        <w:rPr>
          <w:sz w:val="28"/>
        </w:rPr>
        <w:t xml:space="preserve"> </w:t>
      </w:r>
      <w:r>
        <w:rPr>
          <w:sz w:val="28"/>
        </w:rPr>
        <w:t>школой «Изограф» были проведены</w:t>
      </w:r>
      <w:r>
        <w:rPr>
          <w:sz w:val="28"/>
        </w:rPr>
        <w:t xml:space="preserve"> </w:t>
      </w:r>
      <w:r>
        <w:rPr>
          <w:sz w:val="28"/>
        </w:rPr>
        <w:t xml:space="preserve">две </w:t>
      </w:r>
      <w:r>
        <w:rPr>
          <w:sz w:val="28"/>
        </w:rPr>
        <w:t>конференци</w:t>
      </w:r>
      <w:r>
        <w:rPr>
          <w:sz w:val="28"/>
        </w:rPr>
        <w:t>и</w:t>
      </w:r>
      <w:r>
        <w:rPr>
          <w:sz w:val="28"/>
        </w:rPr>
        <w:t xml:space="preserve"> по</w:t>
      </w:r>
      <w:r>
        <w:rPr>
          <w:sz w:val="28"/>
        </w:rPr>
        <w:t xml:space="preserve">д названием «Актуальные вопросы преподавания истории искусств в </w:t>
      </w:r>
      <w:r>
        <w:rPr>
          <w:sz w:val="28"/>
        </w:rPr>
        <w:t>довузовском</w:t>
      </w:r>
      <w:r>
        <w:rPr>
          <w:sz w:val="28"/>
        </w:rPr>
        <w:t xml:space="preserve"> художественно</w:t>
      </w:r>
      <w:r>
        <w:rPr>
          <w:sz w:val="28"/>
        </w:rPr>
        <w:t>м</w:t>
      </w:r>
      <w:r>
        <w:rPr>
          <w:sz w:val="28"/>
        </w:rPr>
        <w:t xml:space="preserve"> образовании». </w:t>
      </w:r>
      <w:r>
        <w:rPr>
          <w:sz w:val="28"/>
        </w:rPr>
        <w:t>В заседаниях приняли участие искусствоведы и педагоги из Нижнего Новгорода,</w:t>
      </w:r>
      <w:r>
        <w:rPr>
          <w:sz w:val="28"/>
        </w:rPr>
        <w:t xml:space="preserve"> </w:t>
      </w:r>
      <w:r>
        <w:rPr>
          <w:sz w:val="28"/>
        </w:rPr>
        <w:t xml:space="preserve">Бора, </w:t>
      </w:r>
      <w:r>
        <w:rPr>
          <w:sz w:val="28"/>
        </w:rPr>
        <w:t>Кулебак</w:t>
      </w:r>
      <w:r>
        <w:rPr>
          <w:sz w:val="28"/>
        </w:rPr>
        <w:t xml:space="preserve"> и</w:t>
      </w:r>
      <w:r>
        <w:rPr>
          <w:sz w:val="28"/>
        </w:rPr>
        <w:t xml:space="preserve"> других городов Нижегородской области, а также</w:t>
      </w:r>
      <w:r>
        <w:rPr>
          <w:sz w:val="28"/>
        </w:rPr>
        <w:t xml:space="preserve"> </w:t>
      </w:r>
      <w:r>
        <w:rPr>
          <w:sz w:val="28"/>
        </w:rPr>
        <w:t>Иванова</w:t>
      </w:r>
      <w:r>
        <w:rPr>
          <w:sz w:val="28"/>
        </w:rPr>
        <w:t xml:space="preserve">. Были заслушаны и обсуждены доклады по вопросам методологии и организационно-методическим аспектам преподавания искусствоведческих дисциплин, популяризации народного искусства средствами дополнительного образования, представлены уникальные авторские образовательные программы и учебные пособия. </w:t>
      </w:r>
      <w:r>
        <w:rPr>
          <w:sz w:val="28"/>
        </w:rPr>
        <w:t xml:space="preserve">Считаем необходимым, сохранив педагогическое направление в качестве приоритетного, расширить тематические рамки конференции, провести ее как плодотворный диалог между педагогами-практиками и представителями научно-исследовательского и музейного сообщества. </w:t>
      </w:r>
      <w:r>
        <w:rPr>
          <w:sz w:val="28"/>
        </w:rPr>
        <w:t xml:space="preserve">Будем рады видеть среди участников конференции всех, кто хочет поделиться своими профессиональными достижениями, обсудить сложности и перспективы в </w:t>
      </w:r>
      <w:r>
        <w:rPr>
          <w:sz w:val="28"/>
        </w:rPr>
        <w:t xml:space="preserve">методической, исследовательской, музейно-выставочной и просветительской </w:t>
      </w:r>
      <w:r>
        <w:rPr>
          <w:sz w:val="28"/>
        </w:rPr>
        <w:t>работе.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Заявки на участие с указанием ФИО, места работы и должности, темы выступления и контактной информации просим направлять до 15 ноября по адресам электронной почты: </w:t>
      </w:r>
      <w:r>
        <w:fldChar w:fldCharType="begin"/>
      </w:r>
      <w:r>
        <w:instrText xml:space="preserve">HYPERLINK "mailto:izografs@yandex.ru" </w:instrText>
      </w:r>
      <w:r>
        <w:fldChar w:fldCharType="separate"/>
      </w:r>
      <w:r>
        <w:rPr>
          <w:rStyle w:val="Hyperlink"/>
          <w:sz w:val="28"/>
          <w:lang w:val="en-US"/>
        </w:rPr>
        <w:t>izografs</w:t>
      </w:r>
      <w:r>
        <w:rPr>
          <w:rStyle w:val="Hyperlink"/>
          <w:sz w:val="28"/>
        </w:rPr>
        <w:t>@</w:t>
      </w:r>
      <w:r>
        <w:rPr>
          <w:rStyle w:val="Hyperlink"/>
          <w:sz w:val="28"/>
          <w:lang w:val="en-US"/>
        </w:rPr>
        <w:t>yandex</w:t>
      </w:r>
      <w:r>
        <w:rPr>
          <w:rStyle w:val="Hyperlink"/>
          <w:sz w:val="28"/>
        </w:rPr>
        <w:t>.</w:t>
      </w:r>
      <w:r>
        <w:rPr>
          <w:rStyle w:val="Hyperlink"/>
          <w:sz w:val="28"/>
          <w:lang w:val="en-US"/>
        </w:rPr>
        <w:t>ru</w:t>
      </w:r>
      <w:r>
        <w:fldChar w:fldCharType="end"/>
      </w:r>
      <w:r>
        <w:rPr>
          <w:sz w:val="28"/>
        </w:rPr>
        <w:t xml:space="preserve"> 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fldChar w:fldCharType="begin"/>
      </w:r>
      <w:r>
        <w:instrText xml:space="preserve">HYPERLINK "mailto:ss.akimov@mail.ru" </w:instrText>
      </w:r>
      <w:r>
        <w:fldChar w:fldCharType="separate"/>
      </w:r>
      <w:r>
        <w:rPr>
          <w:rStyle w:val="Hyperlink"/>
          <w:sz w:val="28"/>
          <w:lang w:val="en-US"/>
        </w:rPr>
        <w:t>ss</w:t>
      </w:r>
      <w:r>
        <w:rPr>
          <w:rStyle w:val="Hyperlink"/>
          <w:sz w:val="28"/>
        </w:rPr>
        <w:t>.</w:t>
      </w:r>
      <w:r>
        <w:rPr>
          <w:rStyle w:val="Hyperlink"/>
          <w:sz w:val="28"/>
          <w:lang w:val="en-US"/>
        </w:rPr>
        <w:t>akimov</w:t>
      </w:r>
      <w:r>
        <w:rPr>
          <w:rStyle w:val="Hyperlink"/>
          <w:sz w:val="28"/>
        </w:rPr>
        <w:t>@</w:t>
      </w:r>
      <w:r>
        <w:rPr>
          <w:rStyle w:val="Hyperlink"/>
          <w:sz w:val="28"/>
          <w:lang w:val="en-US"/>
        </w:rPr>
        <w:t>mail</w:t>
      </w:r>
      <w:r>
        <w:rPr>
          <w:rStyle w:val="Hyperlink"/>
          <w:sz w:val="28"/>
        </w:rPr>
        <w:t>.</w:t>
      </w:r>
      <w:r>
        <w:rPr>
          <w:rStyle w:val="Hyperlink"/>
          <w:sz w:val="28"/>
          <w:lang w:val="en-US"/>
        </w:rPr>
        <w:t>ru</w:t>
      </w:r>
      <w:r>
        <w:fldChar w:fldCharType="end"/>
      </w:r>
      <w:r>
        <w:rPr>
          <w:sz w:val="28"/>
        </w:rPr>
        <w:t xml:space="preserve"> </w:t>
      </w:r>
      <w:r>
        <w:rPr>
          <w:sz w:val="28"/>
        </w:rPr>
        <w:t>Коллег, которые хотят посетить конференцию в качестве слушателей, также просим заблаговременно сообщить нам об этом.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Материалы конференции будут опубликованы на сайте нашего учебного заведения. В дальнейшем также возможно издание сборника статей. Требования к </w:t>
      </w:r>
      <w:r>
        <w:rPr>
          <w:sz w:val="28"/>
        </w:rPr>
        <w:t xml:space="preserve">оформлению текстов см. </w:t>
      </w:r>
      <w:r>
        <w:rPr>
          <w:sz w:val="28"/>
        </w:rPr>
        <w:t>ниже</w:t>
      </w:r>
      <w:r>
        <w:rPr>
          <w:sz w:val="28"/>
        </w:rPr>
        <w:t>. Сдать статьи можно будет в электронном виде в дни проведения конференции.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Программа конференции будет сформирована и разослана докладчикам и слушателям по электронной почте в ближайшие дни по окончанию приема заявок.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По всем вопросам просим обращаться по тел. (831) 436-02-11.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ind w:left="-567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Правила оформления статей</w:t>
      </w:r>
    </w:p>
    <w:p>
      <w:pPr>
        <w:ind w:left="-567" w:firstLine="567"/>
        <w:jc w:val="both"/>
        <w:rPr>
          <w:sz w:val="28"/>
        </w:rPr>
      </w:pPr>
      <w:bookmarkStart w:id="0" w:name="_GoBack"/>
      <w:bookmarkEnd w:id="0"/>
    </w:p>
    <w:p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Текст объемом от 3 до 10 страниц должен быть набран в редакторе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 xml:space="preserve"> шрифтом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14 с межстрочным интервалом 1. Поля слева     3 см, остальные – 2 см.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В начале страницы по центру полужирным шрифтом – заглавие статьи. Ниже строкой по центру – инициалы и фамилия автор</w:t>
      </w:r>
      <w:r>
        <w:rPr>
          <w:sz w:val="28"/>
        </w:rPr>
        <w:t>а(</w:t>
      </w:r>
      <w:r>
        <w:rPr>
          <w:sz w:val="28"/>
        </w:rPr>
        <w:t>ов</w:t>
      </w:r>
      <w:r>
        <w:rPr>
          <w:sz w:val="28"/>
        </w:rPr>
        <w:t>), на следующей строке также по центру – название учреждения курсивом. Далее те</w:t>
      </w:r>
      <w:r>
        <w:rPr>
          <w:sz w:val="28"/>
        </w:rPr>
        <w:t>кст ст</w:t>
      </w:r>
      <w:r>
        <w:rPr>
          <w:sz w:val="28"/>
        </w:rPr>
        <w:t>атьи.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Ссылки на литературу и </w:t>
      </w:r>
      <w:r>
        <w:rPr>
          <w:sz w:val="28"/>
        </w:rPr>
        <w:t>интернет-материалы</w:t>
      </w:r>
      <w:r>
        <w:rPr>
          <w:sz w:val="28"/>
        </w:rPr>
        <w:t xml:space="preserve"> даются в квадратных скобках по порядковому номеру публикации в списке использованной литературы. Например, </w:t>
      </w:r>
      <w:r>
        <w:rPr>
          <w:sz w:val="28"/>
        </w:rPr>
        <w:t>[</w:t>
      </w:r>
      <w:r>
        <w:rPr>
          <w:sz w:val="28"/>
        </w:rPr>
        <w:t>3, с. 24</w:t>
      </w:r>
      <w:r>
        <w:rPr>
          <w:sz w:val="28"/>
        </w:rPr>
        <w:t>]</w:t>
      </w:r>
      <w:r>
        <w:rPr>
          <w:sz w:val="28"/>
        </w:rPr>
        <w:t xml:space="preserve">. Если необходима ссылка сразу на несколько публикаций, то их номера даются через точку с запятой </w:t>
      </w:r>
      <w:r>
        <w:rPr>
          <w:sz w:val="28"/>
        </w:rPr>
        <w:t>[</w:t>
      </w:r>
      <w:r>
        <w:rPr>
          <w:sz w:val="28"/>
        </w:rPr>
        <w:t>1, с. 45; 3; 7, с. 45</w:t>
      </w:r>
      <w:r>
        <w:rPr>
          <w:sz w:val="28"/>
        </w:rPr>
        <w:t>]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Список литературы оформляется в алфавитном порядке.</w:t>
      </w:r>
    </w:p>
    <w:p>
      <w:pPr>
        <w:ind w:left="-567" w:firstLine="567"/>
        <w:jc w:val="both"/>
        <w:rPr>
          <w:sz w:val="28"/>
        </w:rPr>
      </w:pP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ПРИМЕР ОФОРМЛЕНИЯ</w:t>
      </w:r>
    </w:p>
    <w:p>
      <w:pPr>
        <w:ind w:left="-567" w:firstLine="567"/>
        <w:jc w:val="both"/>
        <w:rPr>
          <w:sz w:val="28"/>
        </w:rPr>
      </w:pPr>
    </w:p>
    <w:p>
      <w:pPr>
        <w:spacing w:after="200" w:line="276" w:lineRule="auto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Изучение и популяризация художественного наследия Нижегородского региона как средство патриотического воспитания</w:t>
      </w:r>
    </w:p>
    <w:p>
      <w:pPr>
        <w:spacing w:after="200" w:line="276" w:lineRule="auto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С.С. Акимов</w:t>
      </w:r>
    </w:p>
    <w:p>
      <w:pPr>
        <w:spacing w:after="200" w:line="276" w:lineRule="auto"/>
        <w:jc w:val="center"/>
        <w:rPr>
          <w:rFonts w:eastAsiaTheme="minorHAnsi"/>
          <w:i/>
          <w:sz w:val="28"/>
          <w:lang w:eastAsia="en-US"/>
        </w:rPr>
      </w:pPr>
      <w:r>
        <w:rPr>
          <w:rFonts w:eastAsiaTheme="minorHAnsi"/>
          <w:i/>
          <w:sz w:val="28"/>
          <w:lang w:eastAsia="en-US"/>
        </w:rPr>
        <w:t xml:space="preserve">Нижний Новгород, </w:t>
      </w:r>
      <w:r>
        <w:rPr>
          <w:rFonts w:eastAsiaTheme="minorHAnsi"/>
          <w:i/>
          <w:sz w:val="28"/>
          <w:lang w:eastAsia="en-US"/>
        </w:rPr>
        <w:t xml:space="preserve">МБУ </w:t>
      </w:r>
      <w:r>
        <w:rPr>
          <w:rFonts w:eastAsiaTheme="minorHAnsi"/>
          <w:i/>
          <w:sz w:val="28"/>
          <w:lang w:eastAsia="en-US"/>
        </w:rPr>
        <w:t>ДО</w:t>
      </w:r>
      <w:r>
        <w:rPr>
          <w:rFonts w:eastAsiaTheme="minorHAnsi"/>
          <w:i/>
          <w:sz w:val="28"/>
          <w:lang w:eastAsia="en-US"/>
        </w:rPr>
        <w:t xml:space="preserve"> </w:t>
      </w:r>
      <w:r>
        <w:rPr>
          <w:rFonts w:eastAsiaTheme="minorHAnsi"/>
          <w:i/>
          <w:sz w:val="28"/>
          <w:lang w:eastAsia="en-US"/>
        </w:rPr>
        <w:t>Школа</w:t>
      </w:r>
      <w:r>
        <w:rPr>
          <w:rFonts w:eastAsiaTheme="minorHAnsi"/>
          <w:i/>
          <w:sz w:val="28"/>
          <w:lang w:eastAsia="en-US"/>
        </w:rPr>
        <w:t xml:space="preserve"> искусств и ремесел им. А.С. Пушкина «Изограф»</w:t>
      </w:r>
    </w:p>
    <w:p>
      <w:pPr>
        <w:ind w:left="-567" w:firstLine="567"/>
        <w:jc w:val="both"/>
        <w:rPr>
          <w:sz w:val="28"/>
        </w:rPr>
      </w:pPr>
      <w:r>
        <w:rPr>
          <w:sz w:val="28"/>
        </w:rPr>
        <w:t>ТЕКСТ. ТЕКСТ.</w:t>
      </w:r>
      <w:r>
        <w:rPr>
          <w:sz w:val="28"/>
        </w:rPr>
        <w:t xml:space="preserve"> </w:t>
      </w:r>
      <w:r>
        <w:rPr>
          <w:sz w:val="28"/>
        </w:rPr>
        <w:t>ТЕКСТ. ТЕКСТ.</w:t>
      </w:r>
      <w:r>
        <w:rPr>
          <w:sz w:val="28"/>
        </w:rPr>
        <w:t xml:space="preserve"> </w:t>
      </w:r>
      <w:r>
        <w:rPr>
          <w:sz w:val="28"/>
        </w:rPr>
        <w:t>ТЕКСТ. ТЕКСТ.</w:t>
      </w:r>
      <w:r>
        <w:rPr>
          <w:sz w:val="28"/>
        </w:rPr>
        <w:t xml:space="preserve"> </w:t>
      </w:r>
      <w:r>
        <w:rPr>
          <w:sz w:val="28"/>
        </w:rPr>
        <w:t>ТЕКСТ. ТЕКСТ.</w:t>
      </w:r>
      <w:r>
        <w:rPr>
          <w:sz w:val="28"/>
        </w:rPr>
        <w:t xml:space="preserve"> </w:t>
      </w:r>
      <w:r>
        <w:rPr>
          <w:sz w:val="28"/>
        </w:rPr>
        <w:t>ТЕКСТ. ТЕКСТ.</w:t>
      </w:r>
    </w:p>
    <w:p>
      <w:pPr>
        <w:ind w:left="-567"/>
        <w:jc w:val="center"/>
        <w:rPr>
          <w:b/>
        </w:rPr>
      </w:pPr>
      <w:r>
        <w:rPr>
          <w:b/>
        </w:rPr>
        <w:t xml:space="preserve">Использованная </w:t>
      </w:r>
      <w:r>
        <w:rPr>
          <w:b/>
        </w:rPr>
        <w:t>литература</w:t>
      </w:r>
    </w:p>
    <w:p>
      <w:pPr>
        <w:ind w:left="-567"/>
        <w:jc w:val="both"/>
        <w:rPr>
          <w:b/>
        </w:rPr>
      </w:pPr>
    </w:p>
    <w:p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Агафонов С.Л. Горький. Балахна. Макарьев. М., 1969.</w:t>
      </w:r>
    </w:p>
    <w:p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>
        <w:t xml:space="preserve">Акимов С.С. Изобразительное искусство в художественной культуре российской провинции во второй половине </w:t>
      </w:r>
      <w:r>
        <w:rPr>
          <w:lang w:val="en-US"/>
        </w:rPr>
        <w:t>XVIII</w:t>
      </w:r>
      <w:r>
        <w:t xml:space="preserve"> – середине </w:t>
      </w:r>
      <w:r>
        <w:rPr>
          <w:lang w:val="en-US"/>
        </w:rPr>
        <w:t>XIX</w:t>
      </w:r>
      <w:r>
        <w:t xml:space="preserve"> в. (на материалах Верхнего и Нижегородского Поволжья). Автореферат </w:t>
      </w:r>
      <w:r>
        <w:t>дисс</w:t>
      </w:r>
      <w:r>
        <w:t>…канд. иск. Нижний Новгород, 2014.</w:t>
      </w:r>
    </w:p>
    <w:p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Бубнов Ю.Н., </w:t>
      </w:r>
      <w:r>
        <w:rPr>
          <w:rFonts w:eastAsiaTheme="minorHAnsi"/>
          <w:lang w:eastAsia="en-US"/>
        </w:rPr>
        <w:t>Орельская</w:t>
      </w:r>
      <w:r>
        <w:rPr>
          <w:rFonts w:eastAsiaTheme="minorHAnsi"/>
          <w:lang w:eastAsia="en-US"/>
        </w:rPr>
        <w:t xml:space="preserve"> О.В. Архитектура города Горького. Очерки истории: 1917-1985. Горький, 1986.</w:t>
      </w:r>
    </w:p>
    <w:p>
      <w:pPr>
        <w:ind w:left="-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«Необыкновенное дело» А.В. Ступина. К 200-летию </w:t>
      </w:r>
      <w:r>
        <w:rPr>
          <w:rFonts w:eastAsiaTheme="minorHAnsi"/>
          <w:lang w:eastAsia="en-US"/>
        </w:rPr>
        <w:t>Арзамасской</w:t>
      </w:r>
      <w:r>
        <w:rPr>
          <w:rFonts w:eastAsiaTheme="minorHAnsi"/>
          <w:lang w:eastAsia="en-US"/>
        </w:rPr>
        <w:t xml:space="preserve"> школы живописи. Каталог выставки. Сост. и авт. </w:t>
      </w:r>
      <w:r>
        <w:rPr>
          <w:rFonts w:eastAsiaTheme="minorHAnsi"/>
          <w:lang w:eastAsia="en-US"/>
        </w:rPr>
        <w:t>вст</w:t>
      </w:r>
      <w:r>
        <w:rPr>
          <w:rFonts w:eastAsiaTheme="minorHAnsi"/>
          <w:lang w:eastAsia="en-US"/>
        </w:rPr>
        <w:t xml:space="preserve">. ст. В.В. </w:t>
      </w:r>
      <w:r>
        <w:rPr>
          <w:rFonts w:eastAsiaTheme="minorHAnsi"/>
          <w:lang w:eastAsia="en-US"/>
        </w:rPr>
        <w:t>Тюкина</w:t>
      </w:r>
      <w:r>
        <w:rPr>
          <w:rFonts w:eastAsiaTheme="minorHAnsi"/>
          <w:lang w:eastAsia="en-US"/>
        </w:rPr>
        <w:t>. Нижний Новгород, 2002.</w:t>
      </w:r>
    </w:p>
    <w:p>
      <w:pPr>
        <w:ind w:left="-567"/>
        <w:jc w:val="both"/>
        <w:rPr/>
      </w:pPr>
      <w:r>
        <w:rPr>
          <w:rFonts w:eastAsiaTheme="minorHAnsi"/>
          <w:lang w:eastAsia="en-US"/>
        </w:rPr>
        <w:t xml:space="preserve">5. </w:t>
      </w:r>
      <w:r>
        <w:rPr>
          <w:rFonts w:eastAsiaTheme="minorHAnsi"/>
          <w:lang w:eastAsia="en-US"/>
        </w:rPr>
        <w:t>Тюкина</w:t>
      </w:r>
      <w:r>
        <w:rPr>
          <w:rFonts w:eastAsiaTheme="minorHAnsi"/>
          <w:lang w:eastAsia="en-US"/>
        </w:rPr>
        <w:t xml:space="preserve"> В.В. К вопросу о нижегородских истоках «необыкновенного дела» А.В. Ступина // История и культура Нижегородского края.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музейные научные чтения, 2000; 200-летие </w:t>
      </w:r>
      <w:r>
        <w:rPr>
          <w:rFonts w:eastAsiaTheme="minorHAnsi"/>
          <w:lang w:eastAsia="en-US"/>
        </w:rPr>
        <w:t>Арзамасской</w:t>
      </w:r>
      <w:r>
        <w:rPr>
          <w:rFonts w:eastAsiaTheme="minorHAnsi"/>
          <w:lang w:eastAsia="en-US"/>
        </w:rPr>
        <w:t xml:space="preserve"> школы живописи.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музейные научные чтения</w:t>
      </w:r>
      <w:r>
        <w:rPr>
          <w:rFonts w:eastAsiaTheme="minorHAnsi"/>
          <w:lang w:eastAsia="en-US"/>
        </w:rPr>
        <w:t>,  2002</w:t>
      </w:r>
      <w:r>
        <w:rPr>
          <w:rFonts w:eastAsiaTheme="minorHAnsi"/>
          <w:lang w:eastAsia="en-US"/>
        </w:rPr>
        <w:t>. Сб. материалов. Нижний Новгород, 2003, с. 275-283.</w:t>
      </w:r>
    </w:p>
    <w:p>
      <w:pPr>
        <w:tabs>
          <w:tab w:val="left" w:pos="2730"/>
        </w:tabs>
        <w:ind w:left="-567"/>
        <w:contextualSpacing w:val="on"/>
        <w:jc w:val="both"/>
        <w:rPr>
          <w:rFonts w:eastAsiaTheme="minorHAnsi"/>
          <w:lang w:eastAsia="en-US"/>
        </w:rPr>
      </w:pPr>
      <w:r>
        <w:t xml:space="preserve">6. Художники Нижнего Новгорода. 1933-2003. Справочник. Сост. П.П. Балакин, В.П. </w:t>
      </w:r>
      <w:r>
        <w:t>Батуро</w:t>
      </w:r>
      <w:r>
        <w:t xml:space="preserve">, В.Н. Величко, Л.И. </w:t>
      </w:r>
      <w:r>
        <w:t>Помыткина</w:t>
      </w:r>
      <w:r>
        <w:t xml:space="preserve">. Авт. вступ. ст. Л.И. </w:t>
      </w:r>
      <w:r>
        <w:t>Помыткина</w:t>
      </w:r>
      <w:r>
        <w:t>. Нижний Новгород, 2003.</w:t>
      </w:r>
    </w:p>
    <w:p/>
    <w:p/>
    <w:sectPr>
      <w:pgSz w:w="11906" w:h="16838"/>
      <w:pgMar w:top="567" w:right="850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7"/>
    <w:rsid w:val="00026E60"/>
    <w:rsid w:val="00144067"/>
    <w:rsid w:val="001E4426"/>
    <w:rsid w:val="00395920"/>
    <w:rsid w:val="00541FEA"/>
    <w:rsid w:val="00557298"/>
    <w:rsid w:val="009A093B"/>
    <w:rsid w:val="00D0698E"/>
    <w:rsid w:val="00D3764F"/>
    <w:rsid w:val="00D60B97"/>
    <w:rsid w:val="00E06411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1">
    <w:name w:val="заголовок 1"/>
    <w:basedOn w:val="Normal"/>
    <w:next w:val="Normal"/>
    <w:uiPriority w:val="99"/>
    <w:pPr>
      <w:keepNext w:val="on"/>
      <w:jc w:val="center"/>
    </w:pPr>
    <w:rPr>
      <w:b/>
      <w:sz w:val="32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rPr>
      <w:rFonts w:ascii="Tahoma" w:cs="Tahoma" w:hAnsi="Tahoma"/>
      <w:sz w:val="16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lang w:eastAsia="ru-RU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0698E"/>
    <w:pPr>
      <w:keepNext/>
      <w:jc w:val="center"/>
    </w:pPr>
    <w:rPr>
      <w:b/>
      <w:sz w:val="32"/>
      <w:szCs w:val="20"/>
    </w:rPr>
  </w:style>
  <w:style w:type="character" w:styleId="a3">
    <w:name w:val="Hyperlink"/>
    <w:basedOn w:val="a0"/>
    <w:uiPriority w:val="99"/>
    <w:unhideWhenUsed/>
    <w:rsid w:val="00D069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zografs@yandex.ru" TargetMode="External"/><Relationship Id="rId7" Type="http://schemas.openxmlformats.org/officeDocument/2006/relationships/hyperlink" Target="mailto:ss.akim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Поьзователь</dc:creator>
  <cp:lastModifiedBy>ss.akimov</cp:lastModifiedBy>
  <cp:keywords/>
  <cp:revision>28</cp:revision>
  <dcterms:created xsi:type="dcterms:W3CDTF">2019-08-30T11:55:00Z</dcterms:created>
  <dcterms:modified xsi:type="dcterms:W3CDTF">2019-09-01T08:29:00Z</dcterms:modified>
</cp:coreProperties>
</file>